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Pr="0089268D" w:rsidRDefault="007C2F37" w:rsidP="00C54908">
      <w:pPr>
        <w:jc w:val="right"/>
        <w:rPr>
          <w:rFonts w:cs="Arial"/>
        </w:rPr>
      </w:pPr>
    </w:p>
    <w:p w:rsidR="00724453" w:rsidRPr="0089268D" w:rsidRDefault="00373DAE" w:rsidP="00C54908">
      <w:pPr>
        <w:jc w:val="right"/>
        <w:rPr>
          <w:rFonts w:cs="Arial"/>
        </w:rPr>
      </w:pPr>
      <w:r w:rsidRPr="0089268D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 w:rsidRPr="0089268D">
        <w:rPr>
          <w:rFonts w:cs="Arial"/>
        </w:rPr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89268D" w:rsidRPr="0089268D" w:rsidTr="007C2F37">
        <w:tc>
          <w:tcPr>
            <w:tcW w:w="1403" w:type="dxa"/>
          </w:tcPr>
          <w:p w:rsidR="00C54908" w:rsidRPr="0089268D" w:rsidRDefault="00C54908" w:rsidP="00C54908">
            <w:pPr>
              <w:rPr>
                <w:rFonts w:cs="Arial"/>
              </w:rPr>
            </w:pPr>
          </w:p>
          <w:p w:rsidR="00C54908" w:rsidRPr="0089268D" w:rsidRDefault="00C54908" w:rsidP="009F36E4">
            <w:pPr>
              <w:rPr>
                <w:rFonts w:cs="Arial"/>
              </w:rPr>
            </w:pPr>
            <w:r w:rsidRPr="0089268D">
              <w:rPr>
                <w:rFonts w:cs="Arial"/>
              </w:rPr>
              <w:t>motie nr.</w:t>
            </w:r>
          </w:p>
        </w:tc>
        <w:tc>
          <w:tcPr>
            <w:tcW w:w="1297" w:type="dxa"/>
          </w:tcPr>
          <w:p w:rsidR="00C54908" w:rsidRPr="0089268D" w:rsidRDefault="00C54908" w:rsidP="000327BD">
            <w:pPr>
              <w:jc w:val="right"/>
              <w:rPr>
                <w:rFonts w:cs="Arial"/>
              </w:rPr>
            </w:pPr>
          </w:p>
        </w:tc>
      </w:tr>
      <w:tr w:rsidR="0089268D" w:rsidRPr="0089268D" w:rsidTr="007C2F37">
        <w:tc>
          <w:tcPr>
            <w:tcW w:w="1403" w:type="dxa"/>
          </w:tcPr>
          <w:p w:rsidR="009F36E4" w:rsidRPr="0089268D" w:rsidRDefault="009F36E4" w:rsidP="009F36E4">
            <w:pPr>
              <w:rPr>
                <w:rFonts w:cs="Arial"/>
              </w:rPr>
            </w:pPr>
          </w:p>
          <w:p w:rsidR="00C54908" w:rsidRPr="0089268D" w:rsidRDefault="009F36E4" w:rsidP="009F36E4">
            <w:pPr>
              <w:rPr>
                <w:rFonts w:cs="Arial"/>
              </w:rPr>
            </w:pPr>
            <w:r w:rsidRPr="0089268D">
              <w:rPr>
                <w:rFonts w:cs="Arial"/>
              </w:rPr>
              <w:t>P</w:t>
            </w:r>
            <w:r w:rsidR="00C54908" w:rsidRPr="0089268D">
              <w:rPr>
                <w:rFonts w:cs="Arial"/>
              </w:rPr>
              <w:t>araaf</w:t>
            </w:r>
          </w:p>
          <w:p w:rsidR="009F36E4" w:rsidRPr="0089268D" w:rsidRDefault="009F36E4" w:rsidP="009F36E4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89268D" w:rsidRDefault="00C54908" w:rsidP="000327BD">
            <w:pPr>
              <w:jc w:val="right"/>
              <w:rPr>
                <w:rFonts w:cs="Arial"/>
              </w:rPr>
            </w:pPr>
          </w:p>
        </w:tc>
      </w:tr>
      <w:tr w:rsidR="0089268D" w:rsidRPr="0089268D" w:rsidTr="007C2F37">
        <w:tc>
          <w:tcPr>
            <w:tcW w:w="1403" w:type="dxa"/>
          </w:tcPr>
          <w:p w:rsidR="00EE44C3" w:rsidRPr="0089268D" w:rsidRDefault="00EE44C3" w:rsidP="00C54908">
            <w:pPr>
              <w:rPr>
                <w:rFonts w:cs="Arial"/>
              </w:rPr>
            </w:pPr>
            <w:r w:rsidRPr="0089268D">
              <w:rPr>
                <w:rFonts w:cs="Arial"/>
              </w:rPr>
              <w:t>Agendapunt</w:t>
            </w:r>
          </w:p>
          <w:p w:rsidR="00EE44C3" w:rsidRPr="0089268D" w:rsidRDefault="00EE44C3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EE44C3" w:rsidRPr="0089268D" w:rsidRDefault="00EE44C3" w:rsidP="000327BD">
            <w:pPr>
              <w:jc w:val="right"/>
              <w:rPr>
                <w:rFonts w:cs="Arial"/>
              </w:rPr>
            </w:pPr>
          </w:p>
        </w:tc>
      </w:tr>
    </w:tbl>
    <w:p w:rsidR="00C54908" w:rsidRPr="0089268D" w:rsidRDefault="00C54908" w:rsidP="00C54908">
      <w:pPr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89268D" w:rsidTr="000327BD">
        <w:tc>
          <w:tcPr>
            <w:tcW w:w="9212" w:type="dxa"/>
          </w:tcPr>
          <w:p w:rsidR="00C54908" w:rsidRPr="0089268D" w:rsidRDefault="00C54908" w:rsidP="0002468C">
            <w:pPr>
              <w:rPr>
                <w:rFonts w:cs="Arial"/>
                <w:b/>
              </w:rPr>
            </w:pPr>
            <w:r w:rsidRPr="0089268D">
              <w:rPr>
                <w:rFonts w:cs="Arial"/>
                <w:b/>
              </w:rPr>
              <w:t>MOTIE</w:t>
            </w:r>
            <w:r w:rsidR="00DF4881" w:rsidRPr="0089268D">
              <w:rPr>
                <w:rFonts w:cs="Arial"/>
                <w:b/>
              </w:rPr>
              <w:t xml:space="preserve"> </w:t>
            </w:r>
            <w:r w:rsidRPr="0089268D">
              <w:rPr>
                <w:rFonts w:cs="Arial"/>
                <w:b/>
              </w:rPr>
              <w:t>ex artikel 2</w:t>
            </w:r>
            <w:r w:rsidR="00EE44C3" w:rsidRPr="0089268D">
              <w:rPr>
                <w:rFonts w:cs="Arial"/>
                <w:b/>
              </w:rPr>
              <w:t>9</w:t>
            </w:r>
            <w:r w:rsidRPr="0089268D">
              <w:rPr>
                <w:rFonts w:cs="Arial"/>
                <w:b/>
              </w:rPr>
              <w:t xml:space="preserve"> Reglement van orde</w:t>
            </w:r>
          </w:p>
        </w:tc>
      </w:tr>
    </w:tbl>
    <w:p w:rsidR="00C54908" w:rsidRPr="0089268D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89268D" w:rsidTr="000327BD">
        <w:tc>
          <w:tcPr>
            <w:tcW w:w="3528" w:type="dxa"/>
          </w:tcPr>
          <w:p w:rsidR="00C54908" w:rsidRPr="0089268D" w:rsidRDefault="00C54908" w:rsidP="00C54908">
            <w:pPr>
              <w:rPr>
                <w:rFonts w:cs="Arial"/>
              </w:rPr>
            </w:pPr>
            <w:r w:rsidRPr="0089268D">
              <w:rPr>
                <w:rFonts w:cs="Arial"/>
              </w:rPr>
              <w:t>Statenvergadering</w:t>
            </w:r>
          </w:p>
          <w:p w:rsidR="00C54908" w:rsidRPr="0089268D" w:rsidRDefault="00C54908" w:rsidP="00C54908">
            <w:pPr>
              <w:rPr>
                <w:rFonts w:cs="Arial"/>
              </w:rPr>
            </w:pPr>
          </w:p>
        </w:tc>
        <w:tc>
          <w:tcPr>
            <w:tcW w:w="5684" w:type="dxa"/>
          </w:tcPr>
          <w:p w:rsidR="00C54908" w:rsidRPr="0089268D" w:rsidRDefault="002F6058" w:rsidP="00EF7A2D">
            <w:pPr>
              <w:rPr>
                <w:rFonts w:cs="Arial"/>
              </w:rPr>
            </w:pPr>
            <w:r w:rsidRPr="0089268D">
              <w:rPr>
                <w:rFonts w:cs="Arial"/>
              </w:rPr>
              <w:t xml:space="preserve">18 september </w:t>
            </w:r>
            <w:r w:rsidR="003B2A24" w:rsidRPr="0089268D">
              <w:rPr>
                <w:rFonts w:cs="Arial"/>
              </w:rPr>
              <w:t xml:space="preserve"> 2013</w:t>
            </w:r>
          </w:p>
        </w:tc>
      </w:tr>
      <w:tr w:rsidR="00C54908" w:rsidRPr="0089268D" w:rsidTr="000327BD">
        <w:tc>
          <w:tcPr>
            <w:tcW w:w="3528" w:type="dxa"/>
          </w:tcPr>
          <w:p w:rsidR="00C54908" w:rsidRPr="0089268D" w:rsidRDefault="00C54908" w:rsidP="00C54908">
            <w:pPr>
              <w:rPr>
                <w:rFonts w:cs="Arial"/>
              </w:rPr>
            </w:pPr>
            <w:r w:rsidRPr="0089268D">
              <w:rPr>
                <w:rFonts w:cs="Arial"/>
              </w:rPr>
              <w:t>Agendapunt</w:t>
            </w:r>
          </w:p>
          <w:p w:rsidR="00C54908" w:rsidRPr="0089268D" w:rsidRDefault="00C54908" w:rsidP="00C54908">
            <w:pPr>
              <w:rPr>
                <w:rFonts w:cs="Arial"/>
              </w:rPr>
            </w:pPr>
          </w:p>
        </w:tc>
        <w:tc>
          <w:tcPr>
            <w:tcW w:w="5684" w:type="dxa"/>
          </w:tcPr>
          <w:p w:rsidR="00C54908" w:rsidRPr="0089268D" w:rsidRDefault="001E78D1" w:rsidP="001E78D1">
            <w:pPr>
              <w:rPr>
                <w:rFonts w:cs="Arial"/>
              </w:rPr>
            </w:pPr>
            <w:r w:rsidRPr="0089268D">
              <w:rPr>
                <w:rFonts w:cs="Arial"/>
              </w:rPr>
              <w:t>11 B Spoorlijn Groningen-Leeuwarden</w:t>
            </w:r>
          </w:p>
        </w:tc>
      </w:tr>
    </w:tbl>
    <w:p w:rsidR="00C54908" w:rsidRPr="0089268D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89268D" w:rsidTr="000327BD">
        <w:tc>
          <w:tcPr>
            <w:tcW w:w="9212" w:type="dxa"/>
          </w:tcPr>
          <w:p w:rsidR="00C54908" w:rsidRPr="0089268D" w:rsidRDefault="00C54908" w:rsidP="00C54908">
            <w:pPr>
              <w:rPr>
                <w:rFonts w:cs="Arial"/>
              </w:rPr>
            </w:pPr>
            <w:r w:rsidRPr="0089268D">
              <w:rPr>
                <w:rFonts w:cs="Arial"/>
              </w:rPr>
              <w:t>De Staten, in vergadering bijeen op</w:t>
            </w:r>
            <w:r w:rsidR="000221ED" w:rsidRPr="0089268D">
              <w:rPr>
                <w:rFonts w:cs="Arial"/>
              </w:rPr>
              <w:t xml:space="preserve"> </w:t>
            </w:r>
            <w:r w:rsidR="002F6058" w:rsidRPr="0089268D">
              <w:rPr>
                <w:rFonts w:cs="Arial"/>
              </w:rPr>
              <w:t>18 september</w:t>
            </w:r>
            <w:r w:rsidR="003B2A24" w:rsidRPr="0089268D">
              <w:rPr>
                <w:rFonts w:cs="Arial"/>
              </w:rPr>
              <w:t xml:space="preserve"> 2013</w:t>
            </w:r>
            <w:bookmarkStart w:id="0" w:name="_GoBack"/>
            <w:bookmarkEnd w:id="0"/>
          </w:p>
          <w:p w:rsidR="00C54908" w:rsidRDefault="00C54908" w:rsidP="00C54908">
            <w:pPr>
              <w:rPr>
                <w:rFonts w:cs="Arial"/>
              </w:rPr>
            </w:pPr>
          </w:p>
          <w:p w:rsidR="0089268D" w:rsidRPr="0089268D" w:rsidRDefault="0089268D" w:rsidP="00C54908">
            <w:pPr>
              <w:rPr>
                <w:rFonts w:cs="Arial"/>
              </w:rPr>
            </w:pPr>
          </w:p>
          <w:p w:rsidR="00577509" w:rsidRPr="00577509" w:rsidRDefault="00577509" w:rsidP="00577509">
            <w:pPr>
              <w:rPr>
                <w:rFonts w:cs="Arial"/>
              </w:rPr>
            </w:pPr>
            <w:r w:rsidRPr="00577509">
              <w:rPr>
                <w:rFonts w:cs="Arial"/>
              </w:rPr>
              <w:t>Constaterende dat</w:t>
            </w:r>
          </w:p>
          <w:p w:rsidR="00577509" w:rsidRPr="00577509" w:rsidRDefault="00577509" w:rsidP="0089268D">
            <w:pPr>
              <w:rPr>
                <w:rFonts w:cs="Arial"/>
              </w:rPr>
            </w:pPr>
            <w:r w:rsidRPr="00577509">
              <w:rPr>
                <w:rFonts w:cs="Arial"/>
              </w:rPr>
              <w:t> </w:t>
            </w:r>
          </w:p>
          <w:p w:rsidR="00577509" w:rsidRPr="0089268D" w:rsidRDefault="00577509" w:rsidP="0089268D">
            <w:pPr>
              <w:pStyle w:val="Lijstalinea"/>
              <w:numPr>
                <w:ilvl w:val="0"/>
                <w:numId w:val="16"/>
              </w:numPr>
              <w:textAlignment w:val="center"/>
              <w:rPr>
                <w:rFonts w:ascii="Arial" w:hAnsi="Arial" w:cs="Arial"/>
              </w:rPr>
            </w:pPr>
            <w:r w:rsidRPr="0089268D">
              <w:rPr>
                <w:rFonts w:ascii="Arial" w:hAnsi="Arial" w:cs="Arial"/>
              </w:rPr>
              <w:t xml:space="preserve">De spoorlijn </w:t>
            </w:r>
            <w:proofErr w:type="spellStart"/>
            <w:r w:rsidRPr="0089268D">
              <w:rPr>
                <w:rFonts w:ascii="Arial" w:hAnsi="Arial" w:cs="Arial"/>
              </w:rPr>
              <w:t>Leeuwarden-Groningen</w:t>
            </w:r>
            <w:proofErr w:type="spellEnd"/>
            <w:r w:rsidRPr="0089268D">
              <w:rPr>
                <w:rFonts w:ascii="Arial" w:hAnsi="Arial" w:cs="Arial"/>
              </w:rPr>
              <w:t xml:space="preserve"> in Fryslân de enkelsporige trajecten behoudt.</w:t>
            </w:r>
          </w:p>
          <w:p w:rsidR="00577509" w:rsidRPr="0089268D" w:rsidRDefault="00577509" w:rsidP="0089268D">
            <w:pPr>
              <w:pStyle w:val="Lijstalinea"/>
              <w:numPr>
                <w:ilvl w:val="0"/>
                <w:numId w:val="16"/>
              </w:numPr>
              <w:textAlignment w:val="center"/>
              <w:rPr>
                <w:rFonts w:ascii="Arial" w:hAnsi="Arial" w:cs="Arial"/>
              </w:rPr>
            </w:pPr>
            <w:r w:rsidRPr="0089268D">
              <w:rPr>
                <w:rFonts w:ascii="Arial" w:hAnsi="Arial" w:cs="Arial"/>
              </w:rPr>
              <w:t xml:space="preserve">Er tussen Leeuwarden en </w:t>
            </w:r>
            <w:proofErr w:type="spellStart"/>
            <w:r w:rsidRPr="0089268D">
              <w:rPr>
                <w:rFonts w:ascii="Arial" w:hAnsi="Arial" w:cs="Arial"/>
              </w:rPr>
              <w:t>Feanwâlden</w:t>
            </w:r>
            <w:proofErr w:type="spellEnd"/>
            <w:r w:rsidRPr="0089268D">
              <w:rPr>
                <w:rFonts w:ascii="Arial" w:hAnsi="Arial" w:cs="Arial"/>
              </w:rPr>
              <w:t xml:space="preserve"> maar één passeermogelijkheid is in </w:t>
            </w:r>
            <w:proofErr w:type="spellStart"/>
            <w:r w:rsidRPr="0089268D">
              <w:rPr>
                <w:rFonts w:ascii="Arial" w:hAnsi="Arial" w:cs="Arial"/>
              </w:rPr>
              <w:t>Hurdegaryp</w:t>
            </w:r>
            <w:proofErr w:type="spellEnd"/>
            <w:r w:rsidRPr="0089268D">
              <w:rPr>
                <w:rFonts w:ascii="Arial" w:hAnsi="Arial" w:cs="Arial"/>
              </w:rPr>
              <w:t xml:space="preserve">. </w:t>
            </w:r>
          </w:p>
          <w:p w:rsidR="0089268D" w:rsidRPr="0089268D" w:rsidRDefault="0089268D" w:rsidP="0089268D">
            <w:pPr>
              <w:pStyle w:val="Lijstalinea"/>
              <w:numPr>
                <w:ilvl w:val="0"/>
                <w:numId w:val="16"/>
              </w:numPr>
              <w:textAlignment w:val="center"/>
              <w:rPr>
                <w:rFonts w:ascii="Arial" w:hAnsi="Arial" w:cs="Arial"/>
              </w:rPr>
            </w:pPr>
            <w:r w:rsidRPr="0089268D">
              <w:rPr>
                <w:rFonts w:ascii="Arial" w:hAnsi="Arial" w:cs="Arial"/>
                <w:color w:val="000000"/>
              </w:rPr>
              <w:t>De voorgestelde snelheidsverhoging (130, 140, 120 km/uur) op het hele traject maar net voldoende is om de vierde trein te laten rijden.</w:t>
            </w:r>
          </w:p>
          <w:p w:rsidR="00577509" w:rsidRPr="0089268D" w:rsidRDefault="00577509" w:rsidP="0089268D">
            <w:pPr>
              <w:pStyle w:val="Lijstalinea"/>
              <w:numPr>
                <w:ilvl w:val="0"/>
                <w:numId w:val="16"/>
              </w:numPr>
              <w:textAlignment w:val="center"/>
              <w:rPr>
                <w:rFonts w:ascii="Arial" w:hAnsi="Arial" w:cs="Arial"/>
              </w:rPr>
            </w:pPr>
            <w:r w:rsidRPr="0089268D">
              <w:rPr>
                <w:rFonts w:ascii="Arial" w:hAnsi="Arial" w:cs="Arial"/>
              </w:rPr>
              <w:t>Hierdoor vertraging van de ene trein snel wordt doorgegeven op de tegemoetkomende trein die bij het passeerspoor moet wachten.</w:t>
            </w:r>
          </w:p>
          <w:p w:rsidR="00577509" w:rsidRPr="0089268D" w:rsidRDefault="00577509" w:rsidP="0089268D">
            <w:pPr>
              <w:pStyle w:val="Lijstalinea"/>
              <w:numPr>
                <w:ilvl w:val="0"/>
                <w:numId w:val="16"/>
              </w:numPr>
              <w:textAlignment w:val="center"/>
              <w:rPr>
                <w:rFonts w:ascii="Arial" w:hAnsi="Arial" w:cs="Arial"/>
              </w:rPr>
            </w:pPr>
            <w:r w:rsidRPr="0089268D">
              <w:rPr>
                <w:rFonts w:ascii="Arial" w:hAnsi="Arial" w:cs="Arial"/>
                <w:color w:val="000000"/>
              </w:rPr>
              <w:t>Er daardoor geen ruimte is om eventuele vertraging in te halen</w:t>
            </w:r>
            <w:r w:rsidR="0089268D">
              <w:rPr>
                <w:rFonts w:ascii="Arial" w:hAnsi="Arial" w:cs="Arial"/>
                <w:color w:val="000000"/>
              </w:rPr>
              <w:t>, waardoor een sneeuwbaleffect kan ontstaan en mogelijk uitval van treinen</w:t>
            </w:r>
            <w:r w:rsidRPr="0089268D">
              <w:rPr>
                <w:rFonts w:ascii="Arial" w:hAnsi="Arial" w:cs="Arial"/>
                <w:color w:val="000000"/>
              </w:rPr>
              <w:t>.</w:t>
            </w:r>
          </w:p>
          <w:p w:rsidR="00577509" w:rsidRPr="0089268D" w:rsidRDefault="00577509" w:rsidP="0089268D">
            <w:pPr>
              <w:pStyle w:val="Lijstalinea"/>
              <w:numPr>
                <w:ilvl w:val="0"/>
                <w:numId w:val="16"/>
              </w:numPr>
              <w:textAlignment w:val="center"/>
              <w:rPr>
                <w:rFonts w:ascii="Arial" w:hAnsi="Arial" w:cs="Arial"/>
                <w:color w:val="000000"/>
              </w:rPr>
            </w:pPr>
            <w:r w:rsidRPr="0089268D">
              <w:rPr>
                <w:rFonts w:ascii="Arial" w:hAnsi="Arial" w:cs="Arial"/>
                <w:color w:val="000000"/>
              </w:rPr>
              <w:t xml:space="preserve">Snelheidsverhoging naar 140 km/uur tussen Leeuwarden en </w:t>
            </w:r>
            <w:proofErr w:type="spellStart"/>
            <w:r w:rsidRPr="0089268D">
              <w:rPr>
                <w:rFonts w:ascii="Arial" w:hAnsi="Arial" w:cs="Arial"/>
                <w:color w:val="000000"/>
              </w:rPr>
              <w:t>Veenwouden</w:t>
            </w:r>
            <w:proofErr w:type="spellEnd"/>
            <w:r w:rsidRPr="0089268D">
              <w:rPr>
                <w:rFonts w:ascii="Arial" w:hAnsi="Arial" w:cs="Arial"/>
                <w:color w:val="000000"/>
              </w:rPr>
              <w:t xml:space="preserve"> wel de ruimte geeft om eventuele vertraging in te halen;</w:t>
            </w:r>
          </w:p>
          <w:p w:rsidR="00577509" w:rsidRPr="0089268D" w:rsidRDefault="00577509" w:rsidP="0089268D">
            <w:pPr>
              <w:pStyle w:val="Lijstalinea"/>
              <w:numPr>
                <w:ilvl w:val="0"/>
                <w:numId w:val="16"/>
              </w:numPr>
              <w:textAlignment w:val="center"/>
              <w:rPr>
                <w:rFonts w:ascii="Arial" w:hAnsi="Arial" w:cs="Arial"/>
                <w:color w:val="000000"/>
              </w:rPr>
            </w:pPr>
            <w:r w:rsidRPr="0089268D">
              <w:rPr>
                <w:rFonts w:ascii="Arial" w:hAnsi="Arial" w:cs="Arial"/>
                <w:color w:val="000000"/>
              </w:rPr>
              <w:t xml:space="preserve">Een snelheid van 140 km/h tussen Leeuwarden en </w:t>
            </w:r>
            <w:proofErr w:type="spellStart"/>
            <w:r w:rsidRPr="0089268D">
              <w:rPr>
                <w:rFonts w:ascii="Arial" w:hAnsi="Arial" w:cs="Arial"/>
                <w:color w:val="000000"/>
              </w:rPr>
              <w:t>Veenwouden</w:t>
            </w:r>
            <w:proofErr w:type="spellEnd"/>
            <w:r w:rsidRPr="0089268D">
              <w:rPr>
                <w:rFonts w:ascii="Arial" w:hAnsi="Arial" w:cs="Arial"/>
                <w:color w:val="000000"/>
              </w:rPr>
              <w:t xml:space="preserve"> mogelijkheden biedt om in de toekomst andere dienstregeling te rijden, bijvoorbeeld als de tijden van aansluitende treinen veranderen;</w:t>
            </w:r>
          </w:p>
          <w:p w:rsidR="00577509" w:rsidRPr="0089268D" w:rsidRDefault="00577509" w:rsidP="0089268D">
            <w:pPr>
              <w:pStyle w:val="Lijstalinea"/>
              <w:numPr>
                <w:ilvl w:val="0"/>
                <w:numId w:val="16"/>
              </w:numPr>
              <w:textAlignment w:val="center"/>
              <w:rPr>
                <w:rFonts w:ascii="Arial" w:hAnsi="Arial" w:cs="Arial"/>
                <w:color w:val="000000"/>
              </w:rPr>
            </w:pPr>
            <w:r w:rsidRPr="0089268D">
              <w:rPr>
                <w:rFonts w:ascii="Arial" w:hAnsi="Arial" w:cs="Arial"/>
                <w:color w:val="000000"/>
              </w:rPr>
              <w:t>Er sowieso maatregelen staan gepland om een snelheidsverhoging van 100 km/h</w:t>
            </w:r>
            <w:r w:rsidR="0089268D">
              <w:rPr>
                <w:rFonts w:ascii="Arial" w:hAnsi="Arial" w:cs="Arial"/>
                <w:color w:val="000000"/>
              </w:rPr>
              <w:t xml:space="preserve"> </w:t>
            </w:r>
            <w:r w:rsidRPr="0089268D">
              <w:rPr>
                <w:rFonts w:ascii="Arial" w:hAnsi="Arial" w:cs="Arial"/>
                <w:color w:val="000000"/>
              </w:rPr>
              <w:t xml:space="preserve">naar 130 km/h tussen Leeuwarden en </w:t>
            </w:r>
            <w:proofErr w:type="spellStart"/>
            <w:r w:rsidRPr="0089268D">
              <w:rPr>
                <w:rFonts w:ascii="Arial" w:hAnsi="Arial" w:cs="Arial"/>
                <w:color w:val="000000"/>
              </w:rPr>
              <w:t>Veenwouden</w:t>
            </w:r>
            <w:proofErr w:type="spellEnd"/>
            <w:r w:rsidRPr="0089268D">
              <w:rPr>
                <w:rFonts w:ascii="Arial" w:hAnsi="Arial" w:cs="Arial"/>
                <w:color w:val="000000"/>
              </w:rPr>
              <w:t xml:space="preserve"> mogelijk te maken waardoor detectiepunten toch al verplaatst moeten worden.</w:t>
            </w:r>
          </w:p>
          <w:p w:rsidR="00577509" w:rsidRPr="00577509" w:rsidRDefault="00577509" w:rsidP="00577509">
            <w:pPr>
              <w:rPr>
                <w:rFonts w:cs="Arial"/>
              </w:rPr>
            </w:pPr>
            <w:r w:rsidRPr="00577509">
              <w:rPr>
                <w:rFonts w:cs="Arial"/>
              </w:rPr>
              <w:t>Overwegende dat:</w:t>
            </w:r>
          </w:p>
          <w:p w:rsidR="00577509" w:rsidRPr="00577509" w:rsidRDefault="00577509" w:rsidP="00577509">
            <w:pPr>
              <w:rPr>
                <w:rFonts w:cs="Arial"/>
              </w:rPr>
            </w:pPr>
            <w:r w:rsidRPr="00577509">
              <w:rPr>
                <w:rFonts w:cs="Arial"/>
              </w:rPr>
              <w:t> </w:t>
            </w:r>
          </w:p>
          <w:p w:rsidR="008746E4" w:rsidRDefault="00577509" w:rsidP="0089268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9268D">
              <w:rPr>
                <w:rFonts w:ascii="Arial" w:hAnsi="Arial" w:cs="Arial"/>
              </w:rPr>
              <w:t xml:space="preserve">Het veel kostenefficiënter is om nu te investeren in maatregelen die voorzien in een toekomstbestendige spoorlijn, dan dit op een later tijdstip te doen als de werkzaamheden aan de spoorlijn </w:t>
            </w:r>
            <w:r w:rsidR="0089268D">
              <w:rPr>
                <w:rFonts w:ascii="Arial" w:hAnsi="Arial" w:cs="Arial"/>
              </w:rPr>
              <w:t xml:space="preserve">inmiddels </w:t>
            </w:r>
            <w:r w:rsidRPr="0089268D">
              <w:rPr>
                <w:rFonts w:ascii="Arial" w:hAnsi="Arial" w:cs="Arial"/>
              </w:rPr>
              <w:t xml:space="preserve">klaar zijn. </w:t>
            </w:r>
            <w:r w:rsidR="002F6058" w:rsidRPr="0089268D">
              <w:rPr>
                <w:rFonts w:ascii="Arial" w:hAnsi="Arial" w:cs="Arial"/>
              </w:rPr>
              <w:t xml:space="preserve"> </w:t>
            </w:r>
          </w:p>
          <w:p w:rsidR="0089268D" w:rsidRDefault="0089268D" w:rsidP="0089268D">
            <w:pPr>
              <w:rPr>
                <w:rFonts w:cs="Arial"/>
              </w:rPr>
            </w:pPr>
          </w:p>
          <w:p w:rsidR="0089268D" w:rsidRDefault="0089268D" w:rsidP="0089268D">
            <w:pPr>
              <w:rPr>
                <w:rFonts w:cs="Arial"/>
              </w:rPr>
            </w:pPr>
          </w:p>
          <w:p w:rsidR="0089268D" w:rsidRPr="0089268D" w:rsidRDefault="0089268D" w:rsidP="0089268D">
            <w:pPr>
              <w:rPr>
                <w:rFonts w:cs="Arial"/>
              </w:rPr>
            </w:pPr>
          </w:p>
        </w:tc>
      </w:tr>
      <w:tr w:rsidR="00C54908" w:rsidRPr="0089268D" w:rsidTr="006A0BA7">
        <w:trPr>
          <w:trHeight w:val="70"/>
        </w:trPr>
        <w:tc>
          <w:tcPr>
            <w:tcW w:w="9212" w:type="dxa"/>
          </w:tcPr>
          <w:p w:rsidR="00C54908" w:rsidRPr="0089268D" w:rsidRDefault="00C54908" w:rsidP="00C54908">
            <w:pPr>
              <w:rPr>
                <w:rFonts w:cs="Arial"/>
              </w:rPr>
            </w:pPr>
            <w:r w:rsidRPr="0089268D">
              <w:rPr>
                <w:rFonts w:cs="Arial"/>
              </w:rPr>
              <w:lastRenderedPageBreak/>
              <w:t xml:space="preserve">verzoeken het college van Gedeputeerde Staten </w:t>
            </w:r>
          </w:p>
          <w:p w:rsidR="00C54908" w:rsidRPr="0089268D" w:rsidRDefault="00C54908" w:rsidP="00C54908">
            <w:pPr>
              <w:rPr>
                <w:rFonts w:cs="Arial"/>
              </w:rPr>
            </w:pPr>
          </w:p>
          <w:p w:rsidR="004A1385" w:rsidRPr="0089268D" w:rsidRDefault="004A1385" w:rsidP="0089268D">
            <w:pPr>
              <w:textAlignment w:val="center"/>
              <w:rPr>
                <w:rFonts w:cs="Arial"/>
              </w:rPr>
            </w:pPr>
            <w:r w:rsidRPr="0089268D">
              <w:rPr>
                <w:rFonts w:cs="Arial"/>
              </w:rPr>
              <w:t xml:space="preserve"> </w:t>
            </w:r>
            <w:r w:rsidR="00577509" w:rsidRPr="0089268D">
              <w:rPr>
                <w:rFonts w:cs="Arial"/>
              </w:rPr>
              <w:t xml:space="preserve">Inzichtelijk te maken welk maatregelen en kosten verbonden zijn aan het verhogen van de snelheid van de trein tussen Leeuwarden en </w:t>
            </w:r>
            <w:proofErr w:type="spellStart"/>
            <w:r w:rsidR="00577509" w:rsidRPr="0089268D">
              <w:rPr>
                <w:rFonts w:cs="Arial"/>
              </w:rPr>
              <w:t>Veenwouden</w:t>
            </w:r>
            <w:proofErr w:type="spellEnd"/>
            <w:r w:rsidR="00577509" w:rsidRPr="0089268D">
              <w:rPr>
                <w:rFonts w:cs="Arial"/>
              </w:rPr>
              <w:t xml:space="preserve"> naar 140 km/uur wanneer deze maatregelen integraal onderdeel uitmaken van het project 'Extra Sneltrein </w:t>
            </w:r>
            <w:proofErr w:type="spellStart"/>
            <w:r w:rsidR="00577509" w:rsidRPr="0089268D">
              <w:rPr>
                <w:rFonts w:cs="Arial"/>
              </w:rPr>
              <w:t>Groningen-Leeuwarden</w:t>
            </w:r>
            <w:proofErr w:type="spellEnd"/>
            <w:r w:rsidR="00577509" w:rsidRPr="0089268D">
              <w:rPr>
                <w:rFonts w:cs="Arial"/>
              </w:rPr>
              <w:t xml:space="preserve">'. </w:t>
            </w:r>
          </w:p>
          <w:p w:rsidR="002F7128" w:rsidRPr="0089268D" w:rsidRDefault="002F7128" w:rsidP="009B5D06">
            <w:pPr>
              <w:rPr>
                <w:rFonts w:cs="Arial"/>
              </w:rPr>
            </w:pPr>
          </w:p>
        </w:tc>
      </w:tr>
      <w:tr w:rsidR="00C54908" w:rsidRPr="0089268D" w:rsidTr="000327BD">
        <w:tc>
          <w:tcPr>
            <w:tcW w:w="9212" w:type="dxa"/>
          </w:tcPr>
          <w:p w:rsidR="00C54908" w:rsidRPr="0089268D" w:rsidRDefault="00C54908" w:rsidP="00C54908">
            <w:pPr>
              <w:rPr>
                <w:rFonts w:cs="Arial"/>
              </w:rPr>
            </w:pPr>
            <w:r w:rsidRPr="0089268D">
              <w:rPr>
                <w:rFonts w:cs="Arial"/>
              </w:rPr>
              <w:t>en gaan over tot de orde van de dag</w:t>
            </w:r>
          </w:p>
          <w:p w:rsidR="00C54908" w:rsidRPr="0089268D" w:rsidRDefault="00C54908" w:rsidP="00C54908">
            <w:pPr>
              <w:rPr>
                <w:rFonts w:cs="Arial"/>
              </w:rPr>
            </w:pPr>
          </w:p>
        </w:tc>
      </w:tr>
    </w:tbl>
    <w:p w:rsidR="00C54908" w:rsidRPr="0089268D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89268D" w:rsidTr="000327BD">
        <w:trPr>
          <w:trHeight w:val="551"/>
        </w:trPr>
        <w:tc>
          <w:tcPr>
            <w:tcW w:w="3528" w:type="dxa"/>
          </w:tcPr>
          <w:p w:rsidR="00C54908" w:rsidRPr="0089268D" w:rsidRDefault="00C54908" w:rsidP="00C54908">
            <w:pPr>
              <w:rPr>
                <w:rFonts w:cs="Arial"/>
              </w:rPr>
            </w:pPr>
            <w:r w:rsidRPr="0089268D">
              <w:rPr>
                <w:rFonts w:cs="Arial"/>
              </w:rPr>
              <w:t>Indiener(s)</w:t>
            </w:r>
          </w:p>
        </w:tc>
        <w:tc>
          <w:tcPr>
            <w:tcW w:w="5684" w:type="dxa"/>
          </w:tcPr>
          <w:p w:rsidR="00C54908" w:rsidRPr="0089268D" w:rsidRDefault="00C54908" w:rsidP="00C54908">
            <w:pPr>
              <w:rPr>
                <w:rFonts w:cs="Arial"/>
              </w:rPr>
            </w:pPr>
            <w:r w:rsidRPr="0089268D">
              <w:rPr>
                <w:rFonts w:cs="Arial"/>
              </w:rPr>
              <w:t>(fractie / naam / handtekening)</w:t>
            </w:r>
          </w:p>
          <w:p w:rsidR="00C54908" w:rsidRPr="0089268D" w:rsidRDefault="00087DD8" w:rsidP="00C54908">
            <w:pPr>
              <w:rPr>
                <w:rFonts w:cs="Arial"/>
              </w:rPr>
            </w:pPr>
            <w:r w:rsidRPr="0089268D">
              <w:rPr>
                <w:rFonts w:cs="Arial"/>
              </w:rPr>
              <w:t xml:space="preserve">ChristenUnie, </w:t>
            </w:r>
            <w:r w:rsidR="001C5709" w:rsidRPr="0089268D">
              <w:rPr>
                <w:rFonts w:cs="Arial"/>
              </w:rPr>
              <w:t>Anja Haga</w:t>
            </w:r>
          </w:p>
          <w:p w:rsidR="00C54908" w:rsidRPr="0089268D" w:rsidRDefault="00C54908" w:rsidP="0002468C">
            <w:pPr>
              <w:rPr>
                <w:rFonts w:cs="Arial"/>
              </w:rPr>
            </w:pPr>
          </w:p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368"/>
    <w:multiLevelType w:val="hybridMultilevel"/>
    <w:tmpl w:val="021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7875"/>
    <w:multiLevelType w:val="hybridMultilevel"/>
    <w:tmpl w:val="E19CD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33F9E"/>
    <w:multiLevelType w:val="multilevel"/>
    <w:tmpl w:val="95F8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587B20"/>
    <w:multiLevelType w:val="multilevel"/>
    <w:tmpl w:val="B3A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A82160"/>
    <w:multiLevelType w:val="hybridMultilevel"/>
    <w:tmpl w:val="2E46A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E1EB1"/>
    <w:multiLevelType w:val="hybridMultilevel"/>
    <w:tmpl w:val="06A67ADA"/>
    <w:lvl w:ilvl="0" w:tplc="9D22B8A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C41CC"/>
    <w:multiLevelType w:val="hybridMultilevel"/>
    <w:tmpl w:val="1A4AFD76"/>
    <w:lvl w:ilvl="0" w:tplc="4A7870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15"/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A5B06"/>
    <w:rsid w:val="000B1EA4"/>
    <w:rsid w:val="000B7176"/>
    <w:rsid w:val="000C2339"/>
    <w:rsid w:val="000C5EFD"/>
    <w:rsid w:val="0011296B"/>
    <w:rsid w:val="00115CAC"/>
    <w:rsid w:val="00116D45"/>
    <w:rsid w:val="00121D1D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1E78D1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543B"/>
    <w:rsid w:val="002F6058"/>
    <w:rsid w:val="002F7128"/>
    <w:rsid w:val="00310D9C"/>
    <w:rsid w:val="00314021"/>
    <w:rsid w:val="00366CEF"/>
    <w:rsid w:val="00373DAE"/>
    <w:rsid w:val="0037678B"/>
    <w:rsid w:val="003770CD"/>
    <w:rsid w:val="003842F3"/>
    <w:rsid w:val="003879D9"/>
    <w:rsid w:val="003B0A10"/>
    <w:rsid w:val="003B2A24"/>
    <w:rsid w:val="003B76DF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F4B"/>
    <w:rsid w:val="00467E94"/>
    <w:rsid w:val="0047244A"/>
    <w:rsid w:val="00473244"/>
    <w:rsid w:val="00483FD7"/>
    <w:rsid w:val="0049235D"/>
    <w:rsid w:val="004A1385"/>
    <w:rsid w:val="004A3C85"/>
    <w:rsid w:val="004A4567"/>
    <w:rsid w:val="004B7353"/>
    <w:rsid w:val="004C1DE2"/>
    <w:rsid w:val="004C371D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77509"/>
    <w:rsid w:val="00581210"/>
    <w:rsid w:val="0058237E"/>
    <w:rsid w:val="005A3E4E"/>
    <w:rsid w:val="005C329E"/>
    <w:rsid w:val="005D50CE"/>
    <w:rsid w:val="005D53DD"/>
    <w:rsid w:val="005E060A"/>
    <w:rsid w:val="005E1B14"/>
    <w:rsid w:val="005F0F32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0E46"/>
    <w:rsid w:val="00705B26"/>
    <w:rsid w:val="007166C4"/>
    <w:rsid w:val="00724453"/>
    <w:rsid w:val="007471C3"/>
    <w:rsid w:val="00755544"/>
    <w:rsid w:val="0075736F"/>
    <w:rsid w:val="00761292"/>
    <w:rsid w:val="00770901"/>
    <w:rsid w:val="00783BFA"/>
    <w:rsid w:val="007905DE"/>
    <w:rsid w:val="00794D85"/>
    <w:rsid w:val="007B077E"/>
    <w:rsid w:val="007C2F37"/>
    <w:rsid w:val="007C75AA"/>
    <w:rsid w:val="007D0C5A"/>
    <w:rsid w:val="007E0453"/>
    <w:rsid w:val="007E425E"/>
    <w:rsid w:val="00802A29"/>
    <w:rsid w:val="008208DB"/>
    <w:rsid w:val="008462A2"/>
    <w:rsid w:val="00852B3F"/>
    <w:rsid w:val="0085339F"/>
    <w:rsid w:val="00861580"/>
    <w:rsid w:val="00866C51"/>
    <w:rsid w:val="00871323"/>
    <w:rsid w:val="00871800"/>
    <w:rsid w:val="008746E4"/>
    <w:rsid w:val="0089268D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44A35"/>
    <w:rsid w:val="009505B2"/>
    <w:rsid w:val="009549A1"/>
    <w:rsid w:val="00966EBE"/>
    <w:rsid w:val="00973F81"/>
    <w:rsid w:val="00974A68"/>
    <w:rsid w:val="00993ACB"/>
    <w:rsid w:val="00993AE4"/>
    <w:rsid w:val="009A0C61"/>
    <w:rsid w:val="009B5D06"/>
    <w:rsid w:val="009C36F1"/>
    <w:rsid w:val="009D167D"/>
    <w:rsid w:val="009D19E6"/>
    <w:rsid w:val="009D5144"/>
    <w:rsid w:val="009E08F7"/>
    <w:rsid w:val="009F36E4"/>
    <w:rsid w:val="00A03638"/>
    <w:rsid w:val="00A20AC5"/>
    <w:rsid w:val="00A22F2A"/>
    <w:rsid w:val="00A265CD"/>
    <w:rsid w:val="00A30D5F"/>
    <w:rsid w:val="00A44ABA"/>
    <w:rsid w:val="00A750F3"/>
    <w:rsid w:val="00AA35A5"/>
    <w:rsid w:val="00AD5351"/>
    <w:rsid w:val="00AE4FDD"/>
    <w:rsid w:val="00B12874"/>
    <w:rsid w:val="00B14F62"/>
    <w:rsid w:val="00B25973"/>
    <w:rsid w:val="00B4597D"/>
    <w:rsid w:val="00B544C8"/>
    <w:rsid w:val="00B70ACD"/>
    <w:rsid w:val="00B71E3E"/>
    <w:rsid w:val="00B761C5"/>
    <w:rsid w:val="00B82526"/>
    <w:rsid w:val="00B82B67"/>
    <w:rsid w:val="00BA113A"/>
    <w:rsid w:val="00BA4986"/>
    <w:rsid w:val="00BB7062"/>
    <w:rsid w:val="00BC5F6D"/>
    <w:rsid w:val="00BC6944"/>
    <w:rsid w:val="00BD3972"/>
    <w:rsid w:val="00BD5480"/>
    <w:rsid w:val="00BE57CB"/>
    <w:rsid w:val="00BF07B1"/>
    <w:rsid w:val="00BF3CAA"/>
    <w:rsid w:val="00BF6CF4"/>
    <w:rsid w:val="00C211D3"/>
    <w:rsid w:val="00C36FB8"/>
    <w:rsid w:val="00C51B48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2484"/>
    <w:rsid w:val="00D97EA8"/>
    <w:rsid w:val="00DA0F0D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1C3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A0CE3"/>
    <w:rsid w:val="00FA1608"/>
    <w:rsid w:val="00FB6967"/>
    <w:rsid w:val="00FD7BC9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Van der Molen</cp:lastModifiedBy>
  <cp:revision>2</cp:revision>
  <dcterms:created xsi:type="dcterms:W3CDTF">2013-09-20T09:58:00Z</dcterms:created>
  <dcterms:modified xsi:type="dcterms:W3CDTF">2013-09-20T09:58:00Z</dcterms:modified>
</cp:coreProperties>
</file>