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53" w:rsidRPr="007C498A" w:rsidRDefault="00B81EB2" w:rsidP="00C54908">
      <w:pPr>
        <w:jc w:val="right"/>
        <w:rPr>
          <w:rFonts w:cs="Arial"/>
        </w:rPr>
      </w:pPr>
      <w:r w:rsidRPr="007C498A">
        <w:rPr>
          <w:rFonts w:cs="Arial"/>
          <w:noProof/>
        </w:rPr>
        <w:drawing>
          <wp:anchor distT="0" distB="0" distL="114300" distR="114300" simplePos="0" relativeHeight="251659264" behindDoc="0" locked="0" layoutInCell="1" allowOverlap="1" wp14:anchorId="04A08DD9" wp14:editId="1E6E725C">
            <wp:simplePos x="0" y="0"/>
            <wp:positionH relativeFrom="column">
              <wp:posOffset>-233045</wp:posOffset>
            </wp:positionH>
            <wp:positionV relativeFrom="paragraph">
              <wp:posOffset>-185420</wp:posOffset>
            </wp:positionV>
            <wp:extent cx="276225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6"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rsidRPr="007C498A">
        <w:rPr>
          <w:rFonts w:cs="Arial"/>
        </w:rPr>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297"/>
      </w:tblGrid>
      <w:tr w:rsidR="00C50672" w:rsidRPr="007C498A" w:rsidTr="00B81EB2">
        <w:tc>
          <w:tcPr>
            <w:tcW w:w="1403" w:type="dxa"/>
          </w:tcPr>
          <w:p w:rsidR="00C54908" w:rsidRPr="007C498A" w:rsidRDefault="00C54908" w:rsidP="00C54908">
            <w:pPr>
              <w:rPr>
                <w:rFonts w:cs="Arial"/>
              </w:rPr>
            </w:pPr>
          </w:p>
          <w:p w:rsidR="00C54908" w:rsidRPr="007C498A" w:rsidRDefault="00C54908" w:rsidP="00C54908">
            <w:pPr>
              <w:rPr>
                <w:rFonts w:cs="Arial"/>
              </w:rPr>
            </w:pPr>
            <w:r w:rsidRPr="007C498A">
              <w:rPr>
                <w:rFonts w:cs="Arial"/>
              </w:rPr>
              <w:t>motie nr.</w:t>
            </w:r>
          </w:p>
          <w:p w:rsidR="00C54908" w:rsidRPr="007C498A" w:rsidRDefault="00C54908" w:rsidP="00EA35F1">
            <w:pPr>
              <w:jc w:val="right"/>
              <w:rPr>
                <w:rFonts w:cs="Arial"/>
              </w:rPr>
            </w:pPr>
          </w:p>
        </w:tc>
        <w:tc>
          <w:tcPr>
            <w:tcW w:w="1297" w:type="dxa"/>
          </w:tcPr>
          <w:p w:rsidR="00C54908" w:rsidRPr="007C498A" w:rsidRDefault="00C54908" w:rsidP="00EA35F1">
            <w:pPr>
              <w:jc w:val="right"/>
              <w:rPr>
                <w:rFonts w:cs="Arial"/>
              </w:rPr>
            </w:pPr>
          </w:p>
        </w:tc>
      </w:tr>
      <w:tr w:rsidR="00C50672" w:rsidRPr="007C498A" w:rsidTr="00B81EB2">
        <w:tc>
          <w:tcPr>
            <w:tcW w:w="1403" w:type="dxa"/>
          </w:tcPr>
          <w:p w:rsidR="00C54908" w:rsidRPr="007C498A" w:rsidRDefault="00C54908" w:rsidP="00C54908">
            <w:pPr>
              <w:rPr>
                <w:rFonts w:cs="Arial"/>
              </w:rPr>
            </w:pPr>
          </w:p>
          <w:p w:rsidR="00C54908" w:rsidRPr="007C498A" w:rsidRDefault="00C54908" w:rsidP="00C54908">
            <w:pPr>
              <w:rPr>
                <w:rFonts w:cs="Arial"/>
              </w:rPr>
            </w:pPr>
            <w:r w:rsidRPr="007C498A">
              <w:rPr>
                <w:rFonts w:cs="Arial"/>
              </w:rPr>
              <w:t>paraaf</w:t>
            </w:r>
          </w:p>
          <w:p w:rsidR="00C54908" w:rsidRPr="007C498A" w:rsidRDefault="00C54908" w:rsidP="00C54908">
            <w:pPr>
              <w:rPr>
                <w:rFonts w:cs="Arial"/>
              </w:rPr>
            </w:pPr>
          </w:p>
        </w:tc>
        <w:tc>
          <w:tcPr>
            <w:tcW w:w="1297" w:type="dxa"/>
          </w:tcPr>
          <w:p w:rsidR="00C54908" w:rsidRPr="007C498A" w:rsidRDefault="00C54908" w:rsidP="00EA35F1">
            <w:pPr>
              <w:jc w:val="right"/>
              <w:rPr>
                <w:rFonts w:cs="Arial"/>
              </w:rPr>
            </w:pPr>
          </w:p>
        </w:tc>
      </w:tr>
      <w:tr w:rsidR="00C50672" w:rsidRPr="007C498A" w:rsidTr="00B81EB2">
        <w:tc>
          <w:tcPr>
            <w:tcW w:w="1403" w:type="dxa"/>
          </w:tcPr>
          <w:p w:rsidR="00EE44C3" w:rsidRPr="007C498A" w:rsidRDefault="00EE44C3" w:rsidP="00C54908">
            <w:pPr>
              <w:rPr>
                <w:rFonts w:cs="Arial"/>
              </w:rPr>
            </w:pPr>
            <w:r w:rsidRPr="007C498A">
              <w:rPr>
                <w:rFonts w:cs="Arial"/>
              </w:rPr>
              <w:t>Agendapunt</w:t>
            </w:r>
          </w:p>
          <w:p w:rsidR="00EE44C3" w:rsidRPr="007C498A" w:rsidRDefault="00EE44C3" w:rsidP="00C54908">
            <w:pPr>
              <w:rPr>
                <w:rFonts w:cs="Arial"/>
              </w:rPr>
            </w:pPr>
          </w:p>
          <w:p w:rsidR="00EE44C3" w:rsidRPr="007C498A" w:rsidRDefault="00EE44C3" w:rsidP="00C54908">
            <w:pPr>
              <w:rPr>
                <w:rFonts w:cs="Arial"/>
              </w:rPr>
            </w:pPr>
          </w:p>
        </w:tc>
        <w:tc>
          <w:tcPr>
            <w:tcW w:w="1297" w:type="dxa"/>
          </w:tcPr>
          <w:p w:rsidR="00EE44C3" w:rsidRPr="007C498A" w:rsidRDefault="00EE44C3" w:rsidP="00EA35F1">
            <w:pPr>
              <w:jc w:val="right"/>
              <w:rPr>
                <w:rFonts w:cs="Arial"/>
              </w:rPr>
            </w:pPr>
          </w:p>
        </w:tc>
      </w:tr>
    </w:tbl>
    <w:p w:rsidR="00C54908" w:rsidRPr="007C498A" w:rsidRDefault="00C54908" w:rsidP="00C549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24"/>
      </w:tblGrid>
      <w:tr w:rsidR="00C54908" w:rsidRPr="007C498A" w:rsidTr="00EA35F1">
        <w:tc>
          <w:tcPr>
            <w:tcW w:w="9212" w:type="dxa"/>
            <w:gridSpan w:val="2"/>
          </w:tcPr>
          <w:p w:rsidR="00C54908" w:rsidRPr="007C498A" w:rsidRDefault="00C54908" w:rsidP="00C54908">
            <w:pPr>
              <w:rPr>
                <w:rFonts w:cs="Arial"/>
                <w:b/>
              </w:rPr>
            </w:pPr>
            <w:r w:rsidRPr="007C498A">
              <w:rPr>
                <w:rFonts w:cs="Arial"/>
                <w:b/>
              </w:rPr>
              <w:t>MOTIE, ex artikel 2</w:t>
            </w:r>
            <w:r w:rsidR="00EE44C3" w:rsidRPr="007C498A">
              <w:rPr>
                <w:rFonts w:cs="Arial"/>
                <w:b/>
              </w:rPr>
              <w:t>9</w:t>
            </w:r>
            <w:r w:rsidRPr="007C498A">
              <w:rPr>
                <w:rFonts w:cs="Arial"/>
                <w:b/>
              </w:rPr>
              <w:t xml:space="preserve"> Reglement van orde</w:t>
            </w:r>
          </w:p>
        </w:tc>
      </w:tr>
      <w:tr w:rsidR="00C54908" w:rsidRPr="007C498A" w:rsidTr="00EA35F1">
        <w:tc>
          <w:tcPr>
            <w:tcW w:w="2088" w:type="dxa"/>
          </w:tcPr>
          <w:p w:rsidR="00C54908" w:rsidRPr="007C498A" w:rsidRDefault="00C54908" w:rsidP="00C54908">
            <w:pPr>
              <w:rPr>
                <w:rFonts w:cs="Arial"/>
              </w:rPr>
            </w:pPr>
            <w:r w:rsidRPr="007C498A">
              <w:rPr>
                <w:rFonts w:cs="Arial"/>
              </w:rPr>
              <w:t>Statenvergadering</w:t>
            </w:r>
          </w:p>
          <w:p w:rsidR="00C54908" w:rsidRPr="007C498A" w:rsidRDefault="00C54908" w:rsidP="00C54908">
            <w:pPr>
              <w:rPr>
                <w:rFonts w:cs="Arial"/>
              </w:rPr>
            </w:pPr>
          </w:p>
        </w:tc>
        <w:tc>
          <w:tcPr>
            <w:tcW w:w="7124" w:type="dxa"/>
          </w:tcPr>
          <w:p w:rsidR="00C54908" w:rsidRPr="007C498A" w:rsidRDefault="00015C91" w:rsidP="003A2F5A">
            <w:pPr>
              <w:rPr>
                <w:rFonts w:cs="Arial"/>
              </w:rPr>
            </w:pPr>
            <w:r w:rsidRPr="007C498A">
              <w:rPr>
                <w:rFonts w:cs="Arial"/>
              </w:rPr>
              <w:t>25</w:t>
            </w:r>
            <w:r w:rsidR="004E2BAB" w:rsidRPr="007C498A">
              <w:rPr>
                <w:rFonts w:cs="Arial"/>
              </w:rPr>
              <w:t xml:space="preserve"> juni 2014</w:t>
            </w:r>
          </w:p>
        </w:tc>
      </w:tr>
      <w:tr w:rsidR="00C54908" w:rsidRPr="007C498A" w:rsidTr="00EA35F1">
        <w:tc>
          <w:tcPr>
            <w:tcW w:w="2088" w:type="dxa"/>
          </w:tcPr>
          <w:p w:rsidR="00C54908" w:rsidRPr="007C498A" w:rsidRDefault="00C54908" w:rsidP="00C54908">
            <w:pPr>
              <w:rPr>
                <w:rFonts w:cs="Arial"/>
              </w:rPr>
            </w:pPr>
            <w:r w:rsidRPr="007C498A">
              <w:rPr>
                <w:rFonts w:cs="Arial"/>
              </w:rPr>
              <w:t>Agendapunt</w:t>
            </w:r>
          </w:p>
          <w:p w:rsidR="00C54908" w:rsidRPr="007C498A" w:rsidRDefault="00C54908" w:rsidP="00C54908">
            <w:pPr>
              <w:rPr>
                <w:rFonts w:cs="Arial"/>
              </w:rPr>
            </w:pPr>
          </w:p>
        </w:tc>
        <w:tc>
          <w:tcPr>
            <w:tcW w:w="7124" w:type="dxa"/>
          </w:tcPr>
          <w:p w:rsidR="00C54908" w:rsidRPr="007C498A" w:rsidRDefault="00015C91" w:rsidP="00C83A49">
            <w:pPr>
              <w:rPr>
                <w:rFonts w:cs="Arial"/>
              </w:rPr>
            </w:pPr>
            <w:r w:rsidRPr="007C498A">
              <w:rPr>
                <w:rFonts w:cs="Arial"/>
              </w:rPr>
              <w:t>Kadernota 2015</w:t>
            </w:r>
          </w:p>
        </w:tc>
      </w:tr>
      <w:tr w:rsidR="00C54908" w:rsidRPr="007C498A" w:rsidTr="00EA35F1">
        <w:tc>
          <w:tcPr>
            <w:tcW w:w="9212" w:type="dxa"/>
            <w:gridSpan w:val="2"/>
          </w:tcPr>
          <w:p w:rsidR="00C54908" w:rsidRPr="007C498A" w:rsidRDefault="00C54908" w:rsidP="00C54908">
            <w:pPr>
              <w:rPr>
                <w:rFonts w:cs="Arial"/>
              </w:rPr>
            </w:pPr>
            <w:r w:rsidRPr="007C498A">
              <w:rPr>
                <w:rFonts w:cs="Arial"/>
              </w:rPr>
              <w:t>De Staten, in vergadering bijeen op</w:t>
            </w:r>
            <w:r w:rsidR="002D3A3F" w:rsidRPr="007C498A">
              <w:rPr>
                <w:rFonts w:cs="Arial"/>
              </w:rPr>
              <w:t xml:space="preserve"> </w:t>
            </w:r>
            <w:r w:rsidR="00015C91" w:rsidRPr="007C498A">
              <w:rPr>
                <w:rFonts w:cs="Arial"/>
              </w:rPr>
              <w:t xml:space="preserve">25 </w:t>
            </w:r>
            <w:r w:rsidR="004E2BAB" w:rsidRPr="007C498A">
              <w:rPr>
                <w:rFonts w:cs="Arial"/>
              </w:rPr>
              <w:t>juni 2014</w:t>
            </w:r>
          </w:p>
          <w:p w:rsidR="00C54908" w:rsidRPr="007C498A" w:rsidRDefault="00C54908" w:rsidP="00C54908">
            <w:pPr>
              <w:rPr>
                <w:rFonts w:cs="Arial"/>
              </w:rPr>
            </w:pPr>
          </w:p>
          <w:p w:rsidR="00C54908" w:rsidRPr="007C498A" w:rsidRDefault="00C54908" w:rsidP="00C54908">
            <w:pPr>
              <w:rPr>
                <w:rFonts w:cs="Arial"/>
              </w:rPr>
            </w:pPr>
            <w:r w:rsidRPr="007C498A">
              <w:rPr>
                <w:rFonts w:cs="Arial"/>
              </w:rPr>
              <w:t>gehoord hebbende de beraadslaging;</w:t>
            </w:r>
          </w:p>
          <w:p w:rsidR="00B81EB2" w:rsidRPr="007C498A" w:rsidRDefault="00B81EB2" w:rsidP="00C54908">
            <w:pPr>
              <w:rPr>
                <w:rFonts w:cs="Arial"/>
              </w:rPr>
            </w:pPr>
          </w:p>
          <w:p w:rsidR="00C54908" w:rsidRPr="007C498A" w:rsidRDefault="00B81EB2" w:rsidP="00C54908">
            <w:pPr>
              <w:rPr>
                <w:rFonts w:cs="Arial"/>
              </w:rPr>
            </w:pPr>
            <w:r w:rsidRPr="007C498A">
              <w:rPr>
                <w:rFonts w:cs="Arial"/>
              </w:rPr>
              <w:t>Constaterende dat</w:t>
            </w:r>
          </w:p>
          <w:p w:rsidR="00F80A18" w:rsidRPr="007C498A" w:rsidRDefault="00F80A18" w:rsidP="00C54908">
            <w:pPr>
              <w:rPr>
                <w:rFonts w:cs="Arial"/>
              </w:rPr>
            </w:pPr>
          </w:p>
          <w:p w:rsidR="00C83A49" w:rsidRPr="007C498A" w:rsidRDefault="00015C91" w:rsidP="00015C91">
            <w:pPr>
              <w:pStyle w:val="Lijstalinea"/>
              <w:numPr>
                <w:ilvl w:val="0"/>
                <w:numId w:val="4"/>
              </w:numPr>
              <w:rPr>
                <w:rFonts w:ascii="Arial" w:hAnsi="Arial" w:cs="Arial"/>
              </w:rPr>
            </w:pPr>
            <w:r w:rsidRPr="007C498A">
              <w:rPr>
                <w:rFonts w:ascii="Arial" w:hAnsi="Arial" w:cs="Arial"/>
              </w:rPr>
              <w:t>De meerderheid van deze Staten onlangs heeft besloten taken uit het sociale domein grotendeels neer te leggen bij gemeenten;</w:t>
            </w:r>
          </w:p>
          <w:p w:rsidR="00015C91" w:rsidRPr="007C498A" w:rsidRDefault="00015C91" w:rsidP="00015C91">
            <w:pPr>
              <w:pStyle w:val="Lijstalinea"/>
              <w:numPr>
                <w:ilvl w:val="0"/>
                <w:numId w:val="4"/>
              </w:numPr>
              <w:rPr>
                <w:rFonts w:ascii="Arial" w:hAnsi="Arial" w:cs="Arial"/>
              </w:rPr>
            </w:pPr>
            <w:r w:rsidRPr="007C498A">
              <w:rPr>
                <w:rFonts w:ascii="Arial" w:hAnsi="Arial" w:cs="Arial"/>
              </w:rPr>
              <w:t>tijdens  de begrotingsbehandeling in 2013 een  motie is aangenomen waarbij werd gevraagd  om in de Kadernota duidelijk te maken hoe de verschillende taken uit het sociale domein in de provinciale beleidsvelden worden opgenomen;</w:t>
            </w:r>
          </w:p>
          <w:p w:rsidR="00015C91" w:rsidRPr="007C498A" w:rsidRDefault="00015C91" w:rsidP="00817710">
            <w:pPr>
              <w:pStyle w:val="Lijstalinea"/>
              <w:numPr>
                <w:ilvl w:val="0"/>
                <w:numId w:val="4"/>
              </w:numPr>
              <w:rPr>
                <w:rFonts w:cs="Arial"/>
              </w:rPr>
            </w:pPr>
            <w:r w:rsidRPr="007C498A">
              <w:rPr>
                <w:rFonts w:ascii="Arial" w:hAnsi="Arial" w:cs="Arial"/>
              </w:rPr>
              <w:t xml:space="preserve">de Staten deze informatie niet hebben gekregen. </w:t>
            </w:r>
            <w:bookmarkStart w:id="0" w:name="_GoBack"/>
            <w:bookmarkEnd w:id="0"/>
          </w:p>
        </w:tc>
      </w:tr>
      <w:tr w:rsidR="00C54908" w:rsidRPr="007C498A" w:rsidTr="00EA35F1">
        <w:tc>
          <w:tcPr>
            <w:tcW w:w="9212" w:type="dxa"/>
            <w:gridSpan w:val="2"/>
          </w:tcPr>
          <w:p w:rsidR="00B81EB2" w:rsidRPr="007C498A" w:rsidRDefault="00B81EB2" w:rsidP="00B81EB2">
            <w:pPr>
              <w:rPr>
                <w:rFonts w:cs="Arial"/>
              </w:rPr>
            </w:pPr>
            <w:r w:rsidRPr="007C498A">
              <w:rPr>
                <w:rFonts w:cs="Arial"/>
              </w:rPr>
              <w:t xml:space="preserve">Verzoeken </w:t>
            </w:r>
            <w:r w:rsidR="00D66E64" w:rsidRPr="007C498A">
              <w:rPr>
                <w:rFonts w:cs="Arial"/>
              </w:rPr>
              <w:t>het college van Gedeputeerde Staten</w:t>
            </w:r>
            <w:r w:rsidRPr="007C498A">
              <w:rPr>
                <w:rFonts w:cs="Arial"/>
              </w:rPr>
              <w:t>,</w:t>
            </w:r>
          </w:p>
          <w:p w:rsidR="00F2369F" w:rsidRPr="007C498A" w:rsidRDefault="00F2369F" w:rsidP="00F2369F">
            <w:pPr>
              <w:pStyle w:val="Lijstalinea"/>
              <w:rPr>
                <w:rFonts w:ascii="Arial" w:hAnsi="Arial" w:cs="Arial"/>
              </w:rPr>
            </w:pPr>
          </w:p>
          <w:p w:rsidR="002D3A3F" w:rsidRPr="00817710" w:rsidRDefault="00817710" w:rsidP="00817710">
            <w:pPr>
              <w:pStyle w:val="Lijstalinea"/>
              <w:numPr>
                <w:ilvl w:val="0"/>
                <w:numId w:val="6"/>
              </w:numPr>
              <w:rPr>
                <w:rFonts w:ascii="Arial" w:hAnsi="Arial" w:cs="Arial"/>
              </w:rPr>
            </w:pPr>
            <w:r w:rsidRPr="00817710">
              <w:rPr>
                <w:rFonts w:ascii="Arial" w:hAnsi="Arial" w:cs="Arial"/>
              </w:rPr>
              <w:t>In de begroting voor 2015 per programma in een heldere tekst duidelijk te maken hoe het sociaal beleid is verwerkt in de verschillende programma’s</w:t>
            </w:r>
            <w:r>
              <w:rPr>
                <w:rFonts w:ascii="Arial" w:hAnsi="Arial" w:cs="Arial"/>
              </w:rPr>
              <w:t>.</w:t>
            </w:r>
          </w:p>
        </w:tc>
      </w:tr>
      <w:tr w:rsidR="00C54908" w:rsidRPr="007C498A" w:rsidTr="00EA35F1">
        <w:tc>
          <w:tcPr>
            <w:tcW w:w="9212" w:type="dxa"/>
            <w:gridSpan w:val="2"/>
          </w:tcPr>
          <w:p w:rsidR="00C54908" w:rsidRPr="007C498A" w:rsidRDefault="00C54908" w:rsidP="00B81EB2">
            <w:pPr>
              <w:rPr>
                <w:rFonts w:cs="Arial"/>
              </w:rPr>
            </w:pPr>
            <w:r w:rsidRPr="007C498A">
              <w:rPr>
                <w:rFonts w:cs="Arial"/>
              </w:rPr>
              <w:t>en gaan over tot de orde van de dag</w:t>
            </w:r>
          </w:p>
          <w:p w:rsidR="00B81EB2" w:rsidRPr="007C498A" w:rsidRDefault="00B81EB2" w:rsidP="00B81EB2">
            <w:pPr>
              <w:rPr>
                <w:rFonts w:cs="Arial"/>
              </w:rPr>
            </w:pPr>
          </w:p>
        </w:tc>
      </w:tr>
      <w:tr w:rsidR="00C54908" w:rsidRPr="007C498A" w:rsidTr="00EA35F1">
        <w:tc>
          <w:tcPr>
            <w:tcW w:w="2088" w:type="dxa"/>
          </w:tcPr>
          <w:p w:rsidR="00C54908" w:rsidRPr="007C498A" w:rsidRDefault="00C54908" w:rsidP="00C54908">
            <w:pPr>
              <w:rPr>
                <w:rFonts w:cs="Arial"/>
              </w:rPr>
            </w:pPr>
            <w:r w:rsidRPr="007C498A">
              <w:rPr>
                <w:rFonts w:cs="Arial"/>
              </w:rPr>
              <w:t>Indiener(s)</w:t>
            </w:r>
          </w:p>
        </w:tc>
        <w:tc>
          <w:tcPr>
            <w:tcW w:w="7124" w:type="dxa"/>
          </w:tcPr>
          <w:p w:rsidR="00C54908" w:rsidRPr="007C498A" w:rsidRDefault="00C54908" w:rsidP="00C54908">
            <w:pPr>
              <w:rPr>
                <w:rFonts w:cs="Arial"/>
              </w:rPr>
            </w:pPr>
            <w:r w:rsidRPr="007C498A">
              <w:rPr>
                <w:rFonts w:cs="Arial"/>
              </w:rPr>
              <w:t>(fractie / naam / handtekening)</w:t>
            </w:r>
          </w:p>
          <w:p w:rsidR="00C54908" w:rsidRPr="007C498A" w:rsidRDefault="00C54908" w:rsidP="00C54908">
            <w:pPr>
              <w:rPr>
                <w:rFonts w:cs="Arial"/>
              </w:rPr>
            </w:pPr>
          </w:p>
          <w:p w:rsidR="00C54908" w:rsidRPr="007C498A" w:rsidRDefault="00B81EB2" w:rsidP="00C54908">
            <w:pPr>
              <w:rPr>
                <w:rFonts w:cs="Arial"/>
              </w:rPr>
            </w:pPr>
            <w:r w:rsidRPr="007C498A">
              <w:rPr>
                <w:rFonts w:cs="Arial"/>
              </w:rPr>
              <w:t>ChristenUnie, Anja Haga</w:t>
            </w:r>
          </w:p>
        </w:tc>
      </w:tr>
    </w:tbl>
    <w:p w:rsidR="00C54908" w:rsidRPr="007C498A" w:rsidRDefault="00C54908" w:rsidP="00C54908">
      <w:pPr>
        <w:rPr>
          <w:rFonts w:cs="Arial"/>
        </w:rPr>
      </w:pPr>
    </w:p>
    <w:sectPr w:rsidR="00C54908" w:rsidRPr="007C4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40D"/>
    <w:multiLevelType w:val="hybridMultilevel"/>
    <w:tmpl w:val="0E423D34"/>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4D1B"/>
    <w:multiLevelType w:val="hybridMultilevel"/>
    <w:tmpl w:val="6DF2590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D86E9B"/>
    <w:multiLevelType w:val="hybridMultilevel"/>
    <w:tmpl w:val="15DAD350"/>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05468"/>
    <w:multiLevelType w:val="hybridMultilevel"/>
    <w:tmpl w:val="53A8B028"/>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E36C70"/>
    <w:multiLevelType w:val="hybridMultilevel"/>
    <w:tmpl w:val="C658D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CC30F3"/>
    <w:multiLevelType w:val="hybridMultilevel"/>
    <w:tmpl w:val="DEDC302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15C91"/>
    <w:rsid w:val="0002785A"/>
    <w:rsid w:val="00057BBD"/>
    <w:rsid w:val="0007016A"/>
    <w:rsid w:val="00083854"/>
    <w:rsid w:val="000A05E8"/>
    <w:rsid w:val="000A3E43"/>
    <w:rsid w:val="000B1EA4"/>
    <w:rsid w:val="000B7176"/>
    <w:rsid w:val="000C2339"/>
    <w:rsid w:val="00115CAC"/>
    <w:rsid w:val="00116D45"/>
    <w:rsid w:val="0012361C"/>
    <w:rsid w:val="001273C9"/>
    <w:rsid w:val="00147720"/>
    <w:rsid w:val="0015227F"/>
    <w:rsid w:val="00164B9B"/>
    <w:rsid w:val="00185772"/>
    <w:rsid w:val="001872C4"/>
    <w:rsid w:val="00192CB7"/>
    <w:rsid w:val="00195197"/>
    <w:rsid w:val="001A10EE"/>
    <w:rsid w:val="001A241F"/>
    <w:rsid w:val="001A6DDB"/>
    <w:rsid w:val="001B5584"/>
    <w:rsid w:val="001D5101"/>
    <w:rsid w:val="001D62CC"/>
    <w:rsid w:val="001E73B5"/>
    <w:rsid w:val="001F302E"/>
    <w:rsid w:val="00202B83"/>
    <w:rsid w:val="00211109"/>
    <w:rsid w:val="00223CF2"/>
    <w:rsid w:val="002342A0"/>
    <w:rsid w:val="00236113"/>
    <w:rsid w:val="00237E40"/>
    <w:rsid w:val="00240B9A"/>
    <w:rsid w:val="00253192"/>
    <w:rsid w:val="00256C8D"/>
    <w:rsid w:val="002635AD"/>
    <w:rsid w:val="00264D33"/>
    <w:rsid w:val="00264E1D"/>
    <w:rsid w:val="00265317"/>
    <w:rsid w:val="00265B99"/>
    <w:rsid w:val="002678CB"/>
    <w:rsid w:val="002839F5"/>
    <w:rsid w:val="002853CE"/>
    <w:rsid w:val="002A6786"/>
    <w:rsid w:val="002C3D66"/>
    <w:rsid w:val="002C51C2"/>
    <w:rsid w:val="002D3841"/>
    <w:rsid w:val="002D3A3F"/>
    <w:rsid w:val="002E543B"/>
    <w:rsid w:val="00310D9C"/>
    <w:rsid w:val="00314021"/>
    <w:rsid w:val="00335251"/>
    <w:rsid w:val="00366CEF"/>
    <w:rsid w:val="003770CD"/>
    <w:rsid w:val="003842F3"/>
    <w:rsid w:val="003879D9"/>
    <w:rsid w:val="003A2F5A"/>
    <w:rsid w:val="003B0A10"/>
    <w:rsid w:val="003C34B9"/>
    <w:rsid w:val="003D1963"/>
    <w:rsid w:val="003D2545"/>
    <w:rsid w:val="003E791B"/>
    <w:rsid w:val="00402DFA"/>
    <w:rsid w:val="00424469"/>
    <w:rsid w:val="004264A8"/>
    <w:rsid w:val="0042679A"/>
    <w:rsid w:val="00431144"/>
    <w:rsid w:val="00431D9D"/>
    <w:rsid w:val="00454F4B"/>
    <w:rsid w:val="00467E94"/>
    <w:rsid w:val="0047244A"/>
    <w:rsid w:val="00473244"/>
    <w:rsid w:val="00476E56"/>
    <w:rsid w:val="00483FD7"/>
    <w:rsid w:val="0049235D"/>
    <w:rsid w:val="004A3C85"/>
    <w:rsid w:val="004C1DE2"/>
    <w:rsid w:val="004C4696"/>
    <w:rsid w:val="004E2BAB"/>
    <w:rsid w:val="004E7C38"/>
    <w:rsid w:val="004F4CE3"/>
    <w:rsid w:val="00502296"/>
    <w:rsid w:val="00502991"/>
    <w:rsid w:val="00527803"/>
    <w:rsid w:val="00530123"/>
    <w:rsid w:val="00531335"/>
    <w:rsid w:val="005324DA"/>
    <w:rsid w:val="005330DB"/>
    <w:rsid w:val="005372BA"/>
    <w:rsid w:val="005502CB"/>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941A5"/>
    <w:rsid w:val="006A5197"/>
    <w:rsid w:val="006B5265"/>
    <w:rsid w:val="006B7ED1"/>
    <w:rsid w:val="006C35FA"/>
    <w:rsid w:val="006E5092"/>
    <w:rsid w:val="006F4A6E"/>
    <w:rsid w:val="00705B26"/>
    <w:rsid w:val="007166C4"/>
    <w:rsid w:val="00724453"/>
    <w:rsid w:val="007471C3"/>
    <w:rsid w:val="0075736F"/>
    <w:rsid w:val="00761292"/>
    <w:rsid w:val="00786BFE"/>
    <w:rsid w:val="00794D85"/>
    <w:rsid w:val="007C498A"/>
    <w:rsid w:val="007C75AA"/>
    <w:rsid w:val="007E425E"/>
    <w:rsid w:val="00817710"/>
    <w:rsid w:val="00836996"/>
    <w:rsid w:val="008462A2"/>
    <w:rsid w:val="00850273"/>
    <w:rsid w:val="00852B3F"/>
    <w:rsid w:val="0085339F"/>
    <w:rsid w:val="00861580"/>
    <w:rsid w:val="00866C51"/>
    <w:rsid w:val="00871323"/>
    <w:rsid w:val="00871800"/>
    <w:rsid w:val="00896744"/>
    <w:rsid w:val="00896EEE"/>
    <w:rsid w:val="008A4225"/>
    <w:rsid w:val="008A4B3C"/>
    <w:rsid w:val="008C5F5B"/>
    <w:rsid w:val="008D0C10"/>
    <w:rsid w:val="008D25D4"/>
    <w:rsid w:val="008D34BE"/>
    <w:rsid w:val="008E4FDA"/>
    <w:rsid w:val="008F3060"/>
    <w:rsid w:val="008F628E"/>
    <w:rsid w:val="009058C0"/>
    <w:rsid w:val="00915B39"/>
    <w:rsid w:val="009368F8"/>
    <w:rsid w:val="00942355"/>
    <w:rsid w:val="00944A35"/>
    <w:rsid w:val="009505B2"/>
    <w:rsid w:val="00964BBF"/>
    <w:rsid w:val="00966EBE"/>
    <w:rsid w:val="00973F81"/>
    <w:rsid w:val="00986E09"/>
    <w:rsid w:val="00993AE4"/>
    <w:rsid w:val="009A0C61"/>
    <w:rsid w:val="009C36F1"/>
    <w:rsid w:val="009D167D"/>
    <w:rsid w:val="009D19E6"/>
    <w:rsid w:val="009D5144"/>
    <w:rsid w:val="009E08F7"/>
    <w:rsid w:val="00A03638"/>
    <w:rsid w:val="00A20AC5"/>
    <w:rsid w:val="00A22F2A"/>
    <w:rsid w:val="00A265CD"/>
    <w:rsid w:val="00A30D5F"/>
    <w:rsid w:val="00A44ABA"/>
    <w:rsid w:val="00A512DC"/>
    <w:rsid w:val="00A750F3"/>
    <w:rsid w:val="00AD5351"/>
    <w:rsid w:val="00B12874"/>
    <w:rsid w:val="00B25973"/>
    <w:rsid w:val="00B4449C"/>
    <w:rsid w:val="00B4597D"/>
    <w:rsid w:val="00B544C8"/>
    <w:rsid w:val="00B70ACD"/>
    <w:rsid w:val="00B70D6B"/>
    <w:rsid w:val="00B71E3E"/>
    <w:rsid w:val="00B761C5"/>
    <w:rsid w:val="00B81EB2"/>
    <w:rsid w:val="00B82526"/>
    <w:rsid w:val="00B82B67"/>
    <w:rsid w:val="00BA4986"/>
    <w:rsid w:val="00BB7062"/>
    <w:rsid w:val="00BC5F6D"/>
    <w:rsid w:val="00BE57CB"/>
    <w:rsid w:val="00BF3CAA"/>
    <w:rsid w:val="00BF6CF4"/>
    <w:rsid w:val="00C211D3"/>
    <w:rsid w:val="00C36FB8"/>
    <w:rsid w:val="00C50672"/>
    <w:rsid w:val="00C533CE"/>
    <w:rsid w:val="00C54908"/>
    <w:rsid w:val="00C57188"/>
    <w:rsid w:val="00C578DA"/>
    <w:rsid w:val="00C61567"/>
    <w:rsid w:val="00C705B0"/>
    <w:rsid w:val="00C74F03"/>
    <w:rsid w:val="00C814EF"/>
    <w:rsid w:val="00C83A49"/>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212D"/>
    <w:rsid w:val="00D354BF"/>
    <w:rsid w:val="00D635CC"/>
    <w:rsid w:val="00D654BF"/>
    <w:rsid w:val="00D66E64"/>
    <w:rsid w:val="00D66F0C"/>
    <w:rsid w:val="00D71108"/>
    <w:rsid w:val="00D7250E"/>
    <w:rsid w:val="00D743DB"/>
    <w:rsid w:val="00D76269"/>
    <w:rsid w:val="00D8457D"/>
    <w:rsid w:val="00D91F4B"/>
    <w:rsid w:val="00D97EA8"/>
    <w:rsid w:val="00DA0F0D"/>
    <w:rsid w:val="00DA532E"/>
    <w:rsid w:val="00DB65F8"/>
    <w:rsid w:val="00DB7B09"/>
    <w:rsid w:val="00DD6B8E"/>
    <w:rsid w:val="00DF601B"/>
    <w:rsid w:val="00E043A4"/>
    <w:rsid w:val="00E35D5B"/>
    <w:rsid w:val="00E41C5E"/>
    <w:rsid w:val="00E44745"/>
    <w:rsid w:val="00E6608D"/>
    <w:rsid w:val="00E7538B"/>
    <w:rsid w:val="00E847F9"/>
    <w:rsid w:val="00E8770F"/>
    <w:rsid w:val="00E93C1D"/>
    <w:rsid w:val="00E9436D"/>
    <w:rsid w:val="00EA35F1"/>
    <w:rsid w:val="00EA3A7D"/>
    <w:rsid w:val="00EA57BC"/>
    <w:rsid w:val="00EA5A94"/>
    <w:rsid w:val="00EC62FC"/>
    <w:rsid w:val="00ED398B"/>
    <w:rsid w:val="00ED7F98"/>
    <w:rsid w:val="00EE44C3"/>
    <w:rsid w:val="00F11F97"/>
    <w:rsid w:val="00F144C8"/>
    <w:rsid w:val="00F2369F"/>
    <w:rsid w:val="00F3707F"/>
    <w:rsid w:val="00F37908"/>
    <w:rsid w:val="00F40EAA"/>
    <w:rsid w:val="00F71D60"/>
    <w:rsid w:val="00F80A18"/>
    <w:rsid w:val="00F81B8E"/>
    <w:rsid w:val="00F823D5"/>
    <w:rsid w:val="00FA0CE3"/>
    <w:rsid w:val="00FA1608"/>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620667CE.dotm</Template>
  <TotalTime>2</TotalTime>
  <Pages>1</Pages>
  <Words>152</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molen822</cp:lastModifiedBy>
  <cp:revision>3</cp:revision>
  <dcterms:created xsi:type="dcterms:W3CDTF">2014-06-24T13:49:00Z</dcterms:created>
  <dcterms:modified xsi:type="dcterms:W3CDTF">2014-06-25T14:02:00Z</dcterms:modified>
</cp:coreProperties>
</file>